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lnxbz9" w:id="0"/>
      <w:bookmarkEnd w:id="0"/>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and the OHS Act of New Brunswick. Specifically, employees must: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ELdtIXim4i6itP3GLqbQF1C/qQ==">CgMxLjAyCGgubG54Yno5OAByITEwX1lTVUFKUGtQVldKMHJrdVd3bzNjUGFrVlpJWVNQNg==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2022-06-10T17:45:00Z</dcterms:created>
  <dc:creator>Kelly</dc:creator>
</cp:coreProperties>
</file>